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5ED" w:rsidRPr="008665ED" w:rsidRDefault="008665ED" w:rsidP="008665ED">
      <w:pPr>
        <w:shd w:val="clear" w:color="auto" w:fill="FFFFFF"/>
        <w:textAlignment w:val="baseline"/>
        <w:rPr>
          <w:rFonts w:eastAsia="Times New Roman" w:cstheme="minorHAnsi"/>
          <w:b/>
          <w:color w:val="4A4A4A"/>
          <w:sz w:val="28"/>
          <w:szCs w:val="28"/>
        </w:rPr>
      </w:pPr>
      <w:r w:rsidRPr="008665ED">
        <w:rPr>
          <w:rFonts w:eastAsia="Times New Roman" w:cstheme="minorHAnsi"/>
          <w:b/>
          <w:color w:val="4A4A4A"/>
          <w:sz w:val="28"/>
          <w:szCs w:val="28"/>
        </w:rPr>
        <w:t>Assistant Director of Career Readiness</w:t>
      </w:r>
    </w:p>
    <w:p w:rsidR="008665ED" w:rsidRDefault="008665ED" w:rsidP="008665ED">
      <w:pPr>
        <w:shd w:val="clear" w:color="auto" w:fill="FFFFFF"/>
        <w:textAlignment w:val="baseline"/>
        <w:rPr>
          <w:rFonts w:eastAsia="Times New Roman" w:cstheme="minorHAnsi"/>
          <w:color w:val="4A4A4A"/>
          <w:sz w:val="20"/>
          <w:szCs w:val="20"/>
        </w:rPr>
      </w:pPr>
    </w:p>
    <w:p w:rsidR="00A409A4" w:rsidRPr="00A409A4" w:rsidRDefault="00A409A4" w:rsidP="00A409A4">
      <w:pPr>
        <w:shd w:val="clear" w:color="auto" w:fill="FFFFFF"/>
        <w:textAlignment w:val="baseline"/>
        <w:rPr>
          <w:rFonts w:eastAsia="Times New Roman" w:cstheme="minorHAnsi"/>
          <w:color w:val="4A4A4A"/>
          <w:sz w:val="24"/>
          <w:szCs w:val="24"/>
        </w:rPr>
      </w:pPr>
      <w:r w:rsidRPr="00A409A4">
        <w:rPr>
          <w:rFonts w:eastAsia="Times New Roman" w:cstheme="minorHAnsi"/>
          <w:color w:val="4A4A4A"/>
          <w:sz w:val="24"/>
          <w:szCs w:val="24"/>
        </w:rPr>
        <w:br/>
      </w:r>
    </w:p>
    <w:p w:rsidR="008665ED" w:rsidRPr="008665ED" w:rsidRDefault="00A409A4" w:rsidP="008665ED">
      <w:pPr>
        <w:shd w:val="clear" w:color="auto" w:fill="FFFFFF"/>
        <w:textAlignment w:val="baseline"/>
        <w:rPr>
          <w:rFonts w:eastAsia="Times New Roman" w:cstheme="minorHAnsi"/>
          <w:color w:val="4A4A4A"/>
          <w:sz w:val="24"/>
          <w:szCs w:val="24"/>
          <w:bdr w:val="none" w:sz="0" w:space="0" w:color="auto" w:frame="1"/>
        </w:rPr>
      </w:pPr>
      <w:r w:rsidRPr="00A409A4">
        <w:rPr>
          <w:rFonts w:eastAsia="Times New Roman" w:cstheme="minorHAnsi"/>
          <w:color w:val="4A4A4A"/>
          <w:sz w:val="24"/>
          <w:szCs w:val="24"/>
        </w:rPr>
        <w:t xml:space="preserve">The Office of Career Services at </w:t>
      </w:r>
      <w:bookmarkStart w:id="0" w:name="_GoBack"/>
      <w:r w:rsidRPr="00A409A4">
        <w:rPr>
          <w:rFonts w:eastAsia="Times New Roman" w:cstheme="minorHAnsi"/>
          <w:color w:val="4A4A4A"/>
          <w:sz w:val="24"/>
          <w:szCs w:val="24"/>
        </w:rPr>
        <w:t xml:space="preserve">The University of Tampa </w:t>
      </w:r>
      <w:bookmarkEnd w:id="0"/>
      <w:r w:rsidRPr="00A409A4">
        <w:rPr>
          <w:rFonts w:eastAsia="Times New Roman" w:cstheme="minorHAnsi"/>
          <w:color w:val="4A4A4A"/>
          <w:sz w:val="24"/>
          <w:szCs w:val="24"/>
        </w:rPr>
        <w:t xml:space="preserve">has a position available for Assistant Director of Career Readiness. </w:t>
      </w:r>
      <w:r w:rsidR="008665ED" w:rsidRPr="008665ED">
        <w:rPr>
          <w:rFonts w:eastAsia="Times New Roman" w:cstheme="minorHAnsi"/>
          <w:color w:val="4A4A4A"/>
          <w:sz w:val="24"/>
          <w:szCs w:val="24"/>
        </w:rPr>
        <w:t xml:space="preserve">This position will provide leadership and support to oversee and implement career coaching and professional development programming for undergraduates and undergraduate alumni students.  This position reports to the Senior Assistant Director of Career Exploration. </w:t>
      </w:r>
      <w:r w:rsidR="008665ED" w:rsidRPr="008665ED">
        <w:rPr>
          <w:rFonts w:eastAsia="Times New Roman" w:cstheme="minorHAnsi"/>
          <w:color w:val="4A4A4A"/>
          <w:sz w:val="24"/>
          <w:szCs w:val="24"/>
          <w:bdr w:val="none" w:sz="0" w:space="0" w:color="auto" w:frame="1"/>
        </w:rPr>
        <w:t>As a member of the Office of Student Affairs, this position will uphold the values of diversity and inclusion, collaboration, personal responsibility, professionalism and community and citizenship. The work of this position will intentionally align with strategic priorities including the elevation and expansion of experiential education programs to advance the mission and vision of student affairs which results in student learning and support for students to grow as global citizens.</w:t>
      </w:r>
    </w:p>
    <w:p w:rsidR="008665ED" w:rsidRPr="008665ED" w:rsidRDefault="008665ED" w:rsidP="008665ED">
      <w:pPr>
        <w:shd w:val="clear" w:color="auto" w:fill="FFFFFF"/>
        <w:textAlignment w:val="baseline"/>
        <w:rPr>
          <w:rFonts w:eastAsia="Times New Roman" w:cstheme="minorHAnsi"/>
          <w:color w:val="4A4A4A"/>
          <w:sz w:val="24"/>
          <w:szCs w:val="24"/>
        </w:rPr>
      </w:pPr>
    </w:p>
    <w:p w:rsidR="008665ED" w:rsidRPr="008665ED" w:rsidRDefault="008665ED" w:rsidP="008665ED">
      <w:pPr>
        <w:shd w:val="clear" w:color="auto" w:fill="FFFFFF"/>
        <w:textAlignment w:val="baseline"/>
        <w:rPr>
          <w:rFonts w:eastAsia="Times New Roman" w:cstheme="minorHAnsi"/>
          <w:color w:val="4A4A4A"/>
          <w:sz w:val="24"/>
          <w:szCs w:val="24"/>
        </w:rPr>
      </w:pPr>
      <w:r w:rsidRPr="008665ED">
        <w:rPr>
          <w:rFonts w:eastAsia="Times New Roman" w:cstheme="minorHAnsi"/>
          <w:b/>
          <w:color w:val="4A4A4A"/>
          <w:sz w:val="24"/>
          <w:szCs w:val="24"/>
          <w:bdr w:val="none" w:sz="0" w:space="0" w:color="auto" w:frame="1"/>
        </w:rPr>
        <w:t xml:space="preserve">Responsibilities </w:t>
      </w:r>
      <w:r w:rsidRPr="008665ED">
        <w:rPr>
          <w:rFonts w:eastAsia="Times New Roman" w:cstheme="minorHAnsi"/>
          <w:color w:val="4A4A4A"/>
          <w:sz w:val="24"/>
          <w:szCs w:val="24"/>
        </w:rPr>
        <w:br/>
        <w:t>1.    Oversee and implement Career Readiness Program for the College of Arts and Letters in collaboration with the Dean of the College of Arts and Letters.</w:t>
      </w:r>
      <w:r w:rsidRPr="008665ED">
        <w:rPr>
          <w:rFonts w:eastAsia="Times New Roman" w:cstheme="minorHAnsi"/>
          <w:color w:val="4A4A4A"/>
          <w:sz w:val="24"/>
          <w:szCs w:val="24"/>
        </w:rPr>
        <w:br/>
        <w:t>2.    Implement Career Readiness Program with other Colleges at UT.</w:t>
      </w:r>
      <w:r w:rsidRPr="008665ED">
        <w:rPr>
          <w:rFonts w:eastAsia="Times New Roman" w:cstheme="minorHAnsi"/>
          <w:color w:val="4A4A4A"/>
          <w:sz w:val="24"/>
          <w:szCs w:val="24"/>
        </w:rPr>
        <w:br/>
        <w:t>3.    Conduct individual career coaching appointments for upper level undergraduate students, and undergraduate alumni regarding individual job-search strategies, career development topics, career management concerns, career choice/career change to facilitate career success. </w:t>
      </w:r>
      <w:r w:rsidRPr="008665ED">
        <w:rPr>
          <w:rFonts w:eastAsia="Times New Roman" w:cstheme="minorHAnsi"/>
          <w:color w:val="4A4A4A"/>
          <w:sz w:val="24"/>
          <w:szCs w:val="24"/>
        </w:rPr>
        <w:br/>
        <w:t>4.    Design and implement programming and events based upon current workforce trends to serve both undergraduate and undergraduate alumni in the support of post-graduate success.  </w:t>
      </w:r>
      <w:r w:rsidRPr="008665ED">
        <w:rPr>
          <w:rFonts w:eastAsia="Times New Roman" w:cstheme="minorHAnsi"/>
          <w:color w:val="4A4A4A"/>
          <w:sz w:val="24"/>
          <w:szCs w:val="24"/>
        </w:rPr>
        <w:br/>
        <w:t>5.    Identify long-term programs and strategies to positively impact retention and enrollment efforts with all student populations.</w:t>
      </w:r>
      <w:r w:rsidRPr="008665ED">
        <w:rPr>
          <w:rFonts w:eastAsia="Times New Roman" w:cstheme="minorHAnsi"/>
          <w:color w:val="4A4A4A"/>
          <w:sz w:val="24"/>
          <w:szCs w:val="24"/>
        </w:rPr>
        <w:br/>
        <w:t>6.    Collaborate with Career Services staff on departmental programs and ini</w:t>
      </w:r>
      <w:r w:rsidR="006564AF">
        <w:rPr>
          <w:rFonts w:eastAsia="Times New Roman" w:cstheme="minorHAnsi"/>
          <w:color w:val="4A4A4A"/>
          <w:sz w:val="24"/>
          <w:szCs w:val="24"/>
        </w:rPr>
        <w:t>ti</w:t>
      </w:r>
      <w:r w:rsidRPr="008665ED">
        <w:rPr>
          <w:rFonts w:eastAsia="Times New Roman" w:cstheme="minorHAnsi"/>
          <w:color w:val="4A4A4A"/>
          <w:sz w:val="24"/>
          <w:szCs w:val="24"/>
        </w:rPr>
        <w:t>atives, providing support in areas including walk-in appointments, delivering workshops and serving in an academic college liaison role.</w:t>
      </w:r>
      <w:r w:rsidRPr="008665ED">
        <w:rPr>
          <w:rFonts w:eastAsia="Times New Roman" w:cstheme="minorHAnsi"/>
          <w:color w:val="4A4A4A"/>
          <w:sz w:val="24"/>
          <w:szCs w:val="24"/>
        </w:rPr>
        <w:br/>
        <w:t>7.    Continue and expand employer-integrated programming with employer partners, in collaboration with the Manager of Employer Development.</w:t>
      </w:r>
      <w:r w:rsidRPr="008665ED">
        <w:rPr>
          <w:rFonts w:eastAsia="Times New Roman" w:cstheme="minorHAnsi"/>
          <w:color w:val="4A4A4A"/>
          <w:sz w:val="24"/>
          <w:szCs w:val="24"/>
        </w:rPr>
        <w:br/>
        <w:t>8.    Develop and maintain Faculty and key university partnerships to best serve students and increase program effectiveness and outreach.</w:t>
      </w:r>
      <w:r w:rsidRPr="008665ED">
        <w:rPr>
          <w:rFonts w:eastAsia="Times New Roman" w:cstheme="minorHAnsi"/>
          <w:color w:val="4A4A4A"/>
          <w:sz w:val="24"/>
          <w:szCs w:val="24"/>
        </w:rPr>
        <w:br/>
        <w:t>9.    Create student engagement plan to increase participation in professional programming such as workshops, Etiquette Dinner, and CAR 401 and newly designed initiatives.</w:t>
      </w:r>
      <w:r w:rsidRPr="008665ED">
        <w:rPr>
          <w:rFonts w:eastAsia="Times New Roman" w:cstheme="minorHAnsi"/>
          <w:color w:val="4A4A4A"/>
          <w:sz w:val="24"/>
          <w:szCs w:val="24"/>
        </w:rPr>
        <w:br/>
        <w:t>10.    Conduct classroom and student organization presentations to promote programming and skill development for life after UT.</w:t>
      </w:r>
      <w:r w:rsidRPr="008665ED">
        <w:rPr>
          <w:rFonts w:eastAsia="Times New Roman" w:cstheme="minorHAnsi"/>
          <w:color w:val="4A4A4A"/>
          <w:sz w:val="24"/>
          <w:szCs w:val="24"/>
        </w:rPr>
        <w:br/>
        <w:t>11.    Develop marketing strategy, including social media and technology platforms, to promote programs to employers, students, alumni, faculty and staff.</w:t>
      </w:r>
      <w:r w:rsidRPr="008665ED">
        <w:rPr>
          <w:rFonts w:eastAsia="Times New Roman" w:cstheme="minorHAnsi"/>
          <w:color w:val="4A4A4A"/>
          <w:sz w:val="24"/>
          <w:szCs w:val="24"/>
        </w:rPr>
        <w:br/>
        <w:t>12.    Regularly benchmark best practices and advocate for services on behalf of populations.</w:t>
      </w:r>
    </w:p>
    <w:p w:rsidR="008665ED" w:rsidRPr="008665ED" w:rsidRDefault="008665ED" w:rsidP="008665ED">
      <w:pPr>
        <w:shd w:val="clear" w:color="auto" w:fill="FFFFFF"/>
        <w:textAlignment w:val="baseline"/>
        <w:rPr>
          <w:rFonts w:eastAsia="Times New Roman" w:cstheme="minorHAnsi"/>
          <w:color w:val="4A4A4A"/>
          <w:sz w:val="24"/>
          <w:szCs w:val="24"/>
        </w:rPr>
      </w:pPr>
    </w:p>
    <w:p w:rsidR="006732F5" w:rsidRDefault="006732F5" w:rsidP="008665ED">
      <w:pPr>
        <w:shd w:val="clear" w:color="auto" w:fill="FFFFFF"/>
        <w:textAlignment w:val="baseline"/>
        <w:rPr>
          <w:rFonts w:eastAsia="Times New Roman" w:cstheme="minorHAnsi"/>
          <w:b/>
          <w:color w:val="4A4A4A"/>
          <w:sz w:val="24"/>
          <w:szCs w:val="24"/>
          <w:bdr w:val="none" w:sz="0" w:space="0" w:color="auto" w:frame="1"/>
        </w:rPr>
      </w:pPr>
    </w:p>
    <w:p w:rsidR="006732F5" w:rsidRDefault="006732F5" w:rsidP="008665ED">
      <w:pPr>
        <w:shd w:val="clear" w:color="auto" w:fill="FFFFFF"/>
        <w:textAlignment w:val="baseline"/>
        <w:rPr>
          <w:rFonts w:eastAsia="Times New Roman" w:cstheme="minorHAnsi"/>
          <w:b/>
          <w:color w:val="4A4A4A"/>
          <w:sz w:val="24"/>
          <w:szCs w:val="24"/>
          <w:bdr w:val="none" w:sz="0" w:space="0" w:color="auto" w:frame="1"/>
        </w:rPr>
      </w:pPr>
    </w:p>
    <w:p w:rsidR="008665ED" w:rsidRPr="008665ED" w:rsidRDefault="008665ED" w:rsidP="008665ED">
      <w:pPr>
        <w:shd w:val="clear" w:color="auto" w:fill="FFFFFF"/>
        <w:textAlignment w:val="baseline"/>
        <w:rPr>
          <w:rFonts w:eastAsia="Times New Roman" w:cstheme="minorHAnsi"/>
          <w:color w:val="4A4A4A"/>
          <w:sz w:val="24"/>
          <w:szCs w:val="24"/>
        </w:rPr>
      </w:pPr>
      <w:r w:rsidRPr="008665ED">
        <w:rPr>
          <w:rFonts w:eastAsia="Times New Roman" w:cstheme="minorHAnsi"/>
          <w:b/>
          <w:color w:val="4A4A4A"/>
          <w:sz w:val="24"/>
          <w:szCs w:val="24"/>
          <w:bdr w:val="none" w:sz="0" w:space="0" w:color="auto" w:frame="1"/>
        </w:rPr>
        <w:lastRenderedPageBreak/>
        <w:t>Requirements</w:t>
      </w:r>
      <w:r w:rsidRPr="008665ED">
        <w:rPr>
          <w:rFonts w:eastAsia="Times New Roman" w:cstheme="minorHAnsi"/>
          <w:color w:val="4A4A4A"/>
          <w:sz w:val="24"/>
          <w:szCs w:val="24"/>
        </w:rPr>
        <w:br/>
        <w:t>1.    Master's degree in Counseling, Student Personnel, Higher Ed. or related area.</w:t>
      </w:r>
      <w:r w:rsidRPr="008665ED">
        <w:rPr>
          <w:rFonts w:eastAsia="Times New Roman" w:cstheme="minorHAnsi"/>
          <w:color w:val="4A4A4A"/>
          <w:sz w:val="24"/>
          <w:szCs w:val="24"/>
        </w:rPr>
        <w:br/>
        <w:t>2.    Two (2) years related experience as a professional career counselor/coach in an academic setting required.</w:t>
      </w:r>
      <w:r w:rsidRPr="008665ED">
        <w:rPr>
          <w:rFonts w:eastAsia="Times New Roman" w:cstheme="minorHAnsi"/>
          <w:color w:val="4A4A4A"/>
          <w:sz w:val="24"/>
          <w:szCs w:val="24"/>
        </w:rPr>
        <w:br/>
        <w:t xml:space="preserve">3.    Proven knowledge of career development theories, career counseling skills and experience in utilizing and interpreting MBTI, Strong Interest Inventory, and </w:t>
      </w:r>
      <w:r w:rsidRPr="008665ED">
        <w:rPr>
          <w:rFonts w:eastAsia="Times New Roman" w:cstheme="minorHAnsi"/>
          <w:color w:val="4A4A4A"/>
          <w:sz w:val="24"/>
          <w:szCs w:val="24"/>
          <w:bdr w:val="none" w:sz="0" w:space="0" w:color="auto" w:frame="1"/>
        </w:rPr>
        <w:t>StrengthsFinder </w:t>
      </w:r>
      <w:r w:rsidRPr="008665ED">
        <w:rPr>
          <w:rFonts w:eastAsia="Times New Roman" w:cstheme="minorHAnsi"/>
          <w:color w:val="4A4A4A"/>
          <w:sz w:val="24"/>
          <w:szCs w:val="24"/>
        </w:rPr>
        <w:br/>
        <w:t>4.    High level of customer service; collaboration, exceptional work ethic; attention to detail; organizational, problem-solving, and follow-through ability. </w:t>
      </w:r>
      <w:r w:rsidRPr="008665ED">
        <w:rPr>
          <w:rFonts w:eastAsia="Times New Roman" w:cstheme="minorHAnsi"/>
          <w:color w:val="4A4A4A"/>
          <w:sz w:val="24"/>
          <w:szCs w:val="24"/>
        </w:rPr>
        <w:br/>
        <w:t>5.    Excellent oral and written communication skills; ability to speak effectively before groups</w:t>
      </w:r>
      <w:r w:rsidRPr="008665ED">
        <w:rPr>
          <w:rFonts w:eastAsia="Times New Roman" w:cstheme="minorHAnsi"/>
          <w:color w:val="4A4A4A"/>
          <w:sz w:val="24"/>
          <w:szCs w:val="24"/>
        </w:rPr>
        <w:br/>
        <w:t>6.    Strong skills related to critiquing resume, interviewing, and job search and solid project management skills.</w:t>
      </w:r>
      <w:r w:rsidRPr="008665ED">
        <w:rPr>
          <w:rFonts w:eastAsia="Times New Roman" w:cstheme="minorHAnsi"/>
          <w:color w:val="4A4A4A"/>
          <w:sz w:val="24"/>
          <w:szCs w:val="24"/>
        </w:rPr>
        <w:br/>
        <w:t xml:space="preserve">7.    Demonstrated experience with career management technology (Handshake, CSO); online career resource tools, </w:t>
      </w:r>
      <w:proofErr w:type="spellStart"/>
      <w:r w:rsidRPr="008665ED">
        <w:rPr>
          <w:rFonts w:eastAsia="Times New Roman" w:cstheme="minorHAnsi"/>
          <w:color w:val="4A4A4A"/>
          <w:sz w:val="24"/>
          <w:szCs w:val="24"/>
        </w:rPr>
        <w:t>BlackBoard</w:t>
      </w:r>
      <w:proofErr w:type="spellEnd"/>
      <w:r w:rsidRPr="008665ED">
        <w:rPr>
          <w:rFonts w:eastAsia="Times New Roman" w:cstheme="minorHAnsi"/>
          <w:color w:val="4A4A4A"/>
          <w:sz w:val="24"/>
          <w:szCs w:val="24"/>
        </w:rPr>
        <w:t>, and social media applications. </w:t>
      </w:r>
      <w:r w:rsidRPr="008665ED">
        <w:rPr>
          <w:rFonts w:eastAsia="Times New Roman" w:cstheme="minorHAnsi"/>
          <w:color w:val="4A4A4A"/>
          <w:sz w:val="24"/>
          <w:szCs w:val="24"/>
        </w:rPr>
        <w:br/>
        <w:t xml:space="preserve">8.    Ability to maintain discretion and </w:t>
      </w:r>
      <w:r w:rsidRPr="008665ED">
        <w:rPr>
          <w:rFonts w:eastAsia="Times New Roman" w:cstheme="minorHAnsi"/>
          <w:color w:val="4A4A4A"/>
          <w:sz w:val="24"/>
          <w:szCs w:val="24"/>
          <w:bdr w:val="none" w:sz="0" w:space="0" w:color="auto" w:frame="1"/>
        </w:rPr>
        <w:t>confidentiality. </w:t>
      </w:r>
      <w:r w:rsidRPr="008665ED">
        <w:rPr>
          <w:rFonts w:eastAsia="Times New Roman" w:cstheme="minorHAnsi"/>
          <w:color w:val="4A4A4A"/>
          <w:sz w:val="24"/>
          <w:szCs w:val="24"/>
        </w:rPr>
        <w:br/>
        <w:t>9.    Proficient with Microsoft Office products and familiarity with online resume and job listing systems; Strong skills in Excel and database management experience.</w:t>
      </w:r>
      <w:r w:rsidRPr="008665ED">
        <w:rPr>
          <w:rFonts w:eastAsia="Times New Roman" w:cstheme="minorHAnsi"/>
          <w:color w:val="4A4A4A"/>
          <w:sz w:val="24"/>
          <w:szCs w:val="24"/>
        </w:rPr>
        <w:br/>
        <w:t>10.    Ability to work evenings/weekends as required.  </w:t>
      </w:r>
    </w:p>
    <w:p w:rsidR="008665ED" w:rsidRPr="008665ED" w:rsidRDefault="008665ED" w:rsidP="008665ED">
      <w:pPr>
        <w:shd w:val="clear" w:color="auto" w:fill="FFFFFF"/>
        <w:textAlignment w:val="baseline"/>
        <w:rPr>
          <w:rFonts w:eastAsia="Times New Roman" w:cstheme="minorHAnsi"/>
          <w:color w:val="4A4A4A"/>
          <w:sz w:val="24"/>
          <w:szCs w:val="24"/>
        </w:rPr>
      </w:pPr>
    </w:p>
    <w:p w:rsidR="008665ED" w:rsidRPr="008665ED" w:rsidRDefault="008665ED" w:rsidP="008665ED">
      <w:pPr>
        <w:shd w:val="clear" w:color="auto" w:fill="FFFFFF"/>
        <w:textAlignment w:val="baseline"/>
        <w:rPr>
          <w:rFonts w:eastAsia="Times New Roman" w:cstheme="minorHAnsi"/>
          <w:b/>
          <w:color w:val="4A4A4A"/>
          <w:sz w:val="24"/>
          <w:szCs w:val="24"/>
        </w:rPr>
      </w:pPr>
      <w:r w:rsidRPr="008665ED">
        <w:rPr>
          <w:rFonts w:eastAsia="Times New Roman" w:cstheme="minorHAnsi"/>
          <w:b/>
          <w:color w:val="4A4A4A"/>
          <w:sz w:val="24"/>
          <w:szCs w:val="24"/>
        </w:rPr>
        <w:t xml:space="preserve">For further details and to apply on-line, please visit our website:  </w:t>
      </w:r>
      <w:hyperlink r:id="rId4" w:history="1">
        <w:r w:rsidRPr="008665ED">
          <w:rPr>
            <w:rStyle w:val="Hyperlink"/>
            <w:rFonts w:eastAsia="Times New Roman" w:cstheme="minorHAnsi"/>
            <w:b/>
            <w:sz w:val="24"/>
            <w:szCs w:val="24"/>
          </w:rPr>
          <w:t>www.ut.edu/jobs</w:t>
        </w:r>
      </w:hyperlink>
      <w:r w:rsidRPr="008665ED">
        <w:rPr>
          <w:rFonts w:eastAsia="Times New Roman" w:cstheme="minorHAnsi"/>
          <w:b/>
          <w:color w:val="4A4A4A"/>
          <w:sz w:val="24"/>
          <w:szCs w:val="24"/>
        </w:rPr>
        <w:tab/>
      </w:r>
    </w:p>
    <w:p w:rsidR="008665ED" w:rsidRPr="008665ED" w:rsidRDefault="008665ED" w:rsidP="008665ED">
      <w:pPr>
        <w:shd w:val="clear" w:color="auto" w:fill="FFFFFF"/>
        <w:textAlignment w:val="baseline"/>
        <w:rPr>
          <w:rFonts w:eastAsia="Times New Roman" w:cstheme="minorHAnsi"/>
          <w:color w:val="4A4A4A"/>
          <w:sz w:val="24"/>
          <w:szCs w:val="24"/>
        </w:rPr>
      </w:pPr>
      <w:r w:rsidRPr="008665ED">
        <w:rPr>
          <w:rFonts w:eastAsia="Times New Roman" w:cstheme="minorHAnsi"/>
          <w:color w:val="4A4A4A"/>
          <w:sz w:val="24"/>
          <w:szCs w:val="24"/>
        </w:rPr>
        <w:t>Applicants should be prepared to attach a cover letter and resume.</w:t>
      </w:r>
    </w:p>
    <w:p w:rsidR="008665ED" w:rsidRPr="008665ED" w:rsidRDefault="008665ED" w:rsidP="008665ED">
      <w:pPr>
        <w:shd w:val="clear" w:color="auto" w:fill="FFFFFF"/>
        <w:textAlignment w:val="baseline"/>
        <w:rPr>
          <w:rFonts w:ascii="inherit" w:eastAsia="Times New Roman" w:hAnsi="inherit" w:cs="Arial"/>
          <w:color w:val="4A4A4A"/>
          <w:sz w:val="24"/>
          <w:szCs w:val="24"/>
        </w:rPr>
      </w:pPr>
    </w:p>
    <w:p w:rsidR="00B22AFE" w:rsidRDefault="008665ED">
      <w:pPr>
        <w:rPr>
          <w:sz w:val="24"/>
          <w:szCs w:val="24"/>
        </w:rPr>
      </w:pPr>
      <w:r w:rsidRPr="008665ED">
        <w:rPr>
          <w:iCs/>
          <w:sz w:val="24"/>
          <w:szCs w:val="24"/>
        </w:rPr>
        <w:t>The University of Tampa is an Affirmative Action/Equal Opportunity Employer.</w:t>
      </w:r>
      <w:r w:rsidRPr="008665ED">
        <w:rPr>
          <w:sz w:val="24"/>
          <w:szCs w:val="24"/>
        </w:rPr>
        <w:t> </w:t>
      </w:r>
    </w:p>
    <w:p w:rsidR="00A409A4" w:rsidRDefault="00A409A4">
      <w:pPr>
        <w:rPr>
          <w:sz w:val="24"/>
          <w:szCs w:val="24"/>
        </w:rPr>
      </w:pPr>
    </w:p>
    <w:p w:rsidR="00A409A4" w:rsidRDefault="00A409A4">
      <w:pPr>
        <w:rPr>
          <w:b/>
          <w:sz w:val="24"/>
          <w:szCs w:val="24"/>
        </w:rPr>
      </w:pPr>
    </w:p>
    <w:p w:rsidR="00A409A4" w:rsidRDefault="00A409A4">
      <w:pPr>
        <w:rPr>
          <w:b/>
          <w:sz w:val="24"/>
          <w:szCs w:val="24"/>
        </w:rPr>
      </w:pPr>
    </w:p>
    <w:sectPr w:rsidR="00A40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ED"/>
    <w:rsid w:val="002E0C93"/>
    <w:rsid w:val="006564AF"/>
    <w:rsid w:val="006732F5"/>
    <w:rsid w:val="006D658D"/>
    <w:rsid w:val="008665ED"/>
    <w:rsid w:val="00A409A4"/>
    <w:rsid w:val="00B22AFE"/>
    <w:rsid w:val="00C76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3F7BD-0A88-4AC5-B6C8-08DA4B40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65ED"/>
    <w:pPr>
      <w:spacing w:before="100" w:beforeAutospacing="1" w:after="100" w:afterAutospacing="1"/>
    </w:pPr>
    <w:rPr>
      <w:rFonts w:ascii="Times New Roman" w:eastAsia="Times New Roman" w:hAnsi="Times New Roman" w:cs="Times New Roman"/>
      <w:sz w:val="24"/>
      <w:szCs w:val="24"/>
    </w:rPr>
  </w:style>
  <w:style w:type="character" w:customStyle="1" w:styleId="Emphasis1">
    <w:name w:val="Emphasis1"/>
    <w:basedOn w:val="DefaultParagraphFont"/>
    <w:rsid w:val="008665ED"/>
  </w:style>
  <w:style w:type="character" w:styleId="Hyperlink">
    <w:name w:val="Hyperlink"/>
    <w:basedOn w:val="DefaultParagraphFont"/>
    <w:uiPriority w:val="99"/>
    <w:unhideWhenUsed/>
    <w:rsid w:val="00866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88239">
      <w:bodyDiv w:val="1"/>
      <w:marLeft w:val="0"/>
      <w:marRight w:val="0"/>
      <w:marTop w:val="0"/>
      <w:marBottom w:val="0"/>
      <w:divBdr>
        <w:top w:val="none" w:sz="0" w:space="0" w:color="auto"/>
        <w:left w:val="none" w:sz="0" w:space="0" w:color="auto"/>
        <w:bottom w:val="none" w:sz="0" w:space="0" w:color="auto"/>
        <w:right w:val="none" w:sz="0" w:space="0" w:color="auto"/>
      </w:divBdr>
      <w:divsChild>
        <w:div w:id="972246123">
          <w:marLeft w:val="0"/>
          <w:marRight w:val="0"/>
          <w:marTop w:val="0"/>
          <w:marBottom w:val="0"/>
          <w:divBdr>
            <w:top w:val="none" w:sz="0" w:space="6" w:color="auto"/>
            <w:left w:val="none" w:sz="0" w:space="0" w:color="auto"/>
            <w:bottom w:val="single" w:sz="48" w:space="0" w:color="auto"/>
            <w:right w:val="none" w:sz="0" w:space="15" w:color="auto"/>
          </w:divBdr>
          <w:divsChild>
            <w:div w:id="1640987745">
              <w:marLeft w:val="0"/>
              <w:marRight w:val="0"/>
              <w:marTop w:val="0"/>
              <w:marBottom w:val="0"/>
              <w:divBdr>
                <w:top w:val="none" w:sz="0" w:space="0" w:color="auto"/>
                <w:left w:val="none" w:sz="0" w:space="0" w:color="auto"/>
                <w:bottom w:val="none" w:sz="0" w:space="0" w:color="auto"/>
                <w:right w:val="none" w:sz="0" w:space="0" w:color="auto"/>
              </w:divBdr>
            </w:div>
          </w:divsChild>
        </w:div>
        <w:div w:id="2003312366">
          <w:marLeft w:val="0"/>
          <w:marRight w:val="0"/>
          <w:marTop w:val="0"/>
          <w:marBottom w:val="0"/>
          <w:divBdr>
            <w:top w:val="none" w:sz="0" w:space="0" w:color="auto"/>
            <w:left w:val="none" w:sz="0" w:space="0" w:color="auto"/>
            <w:bottom w:val="single" w:sz="48" w:space="0" w:color="auto"/>
            <w:right w:val="none" w:sz="0" w:space="2" w:color="auto"/>
          </w:divBdr>
          <w:divsChild>
            <w:div w:id="1997151520">
              <w:marLeft w:val="0"/>
              <w:marRight w:val="0"/>
              <w:marTop w:val="0"/>
              <w:marBottom w:val="0"/>
              <w:divBdr>
                <w:top w:val="none" w:sz="0" w:space="0" w:color="auto"/>
                <w:left w:val="none" w:sz="0" w:space="0" w:color="auto"/>
                <w:bottom w:val="none" w:sz="0" w:space="0" w:color="auto"/>
                <w:right w:val="none" w:sz="0" w:space="0" w:color="auto"/>
              </w:divBdr>
              <w:divsChild>
                <w:div w:id="1497497823">
                  <w:marLeft w:val="0"/>
                  <w:marRight w:val="0"/>
                  <w:marTop w:val="0"/>
                  <w:marBottom w:val="0"/>
                  <w:divBdr>
                    <w:top w:val="none" w:sz="0" w:space="0" w:color="auto"/>
                    <w:left w:val="none" w:sz="0" w:space="0" w:color="auto"/>
                    <w:bottom w:val="none" w:sz="0" w:space="0" w:color="auto"/>
                    <w:right w:val="none" w:sz="0" w:space="0" w:color="auto"/>
                  </w:divBdr>
                  <w:divsChild>
                    <w:div w:id="9356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3023">
      <w:bodyDiv w:val="1"/>
      <w:marLeft w:val="0"/>
      <w:marRight w:val="0"/>
      <w:marTop w:val="0"/>
      <w:marBottom w:val="0"/>
      <w:divBdr>
        <w:top w:val="none" w:sz="0" w:space="0" w:color="auto"/>
        <w:left w:val="none" w:sz="0" w:space="0" w:color="auto"/>
        <w:bottom w:val="none" w:sz="0" w:space="0" w:color="auto"/>
        <w:right w:val="none" w:sz="0" w:space="0" w:color="auto"/>
      </w:divBdr>
      <w:divsChild>
        <w:div w:id="133838562">
          <w:marLeft w:val="0"/>
          <w:marRight w:val="0"/>
          <w:marTop w:val="0"/>
          <w:marBottom w:val="0"/>
          <w:divBdr>
            <w:top w:val="none" w:sz="0" w:space="6" w:color="auto"/>
            <w:left w:val="none" w:sz="0" w:space="0" w:color="auto"/>
            <w:bottom w:val="single" w:sz="48" w:space="0" w:color="auto"/>
            <w:right w:val="none" w:sz="0" w:space="15" w:color="auto"/>
          </w:divBdr>
          <w:divsChild>
            <w:div w:id="1277712360">
              <w:marLeft w:val="0"/>
              <w:marRight w:val="0"/>
              <w:marTop w:val="0"/>
              <w:marBottom w:val="0"/>
              <w:divBdr>
                <w:top w:val="none" w:sz="0" w:space="0" w:color="auto"/>
                <w:left w:val="none" w:sz="0" w:space="0" w:color="auto"/>
                <w:bottom w:val="none" w:sz="0" w:space="0" w:color="auto"/>
                <w:right w:val="none" w:sz="0" w:space="0" w:color="auto"/>
              </w:divBdr>
            </w:div>
          </w:divsChild>
        </w:div>
        <w:div w:id="938294168">
          <w:marLeft w:val="0"/>
          <w:marRight w:val="0"/>
          <w:marTop w:val="0"/>
          <w:marBottom w:val="0"/>
          <w:divBdr>
            <w:top w:val="none" w:sz="0" w:space="0" w:color="auto"/>
            <w:left w:val="none" w:sz="0" w:space="0" w:color="auto"/>
            <w:bottom w:val="single" w:sz="48" w:space="0" w:color="auto"/>
            <w:right w:val="none" w:sz="0" w:space="2" w:color="auto"/>
          </w:divBdr>
          <w:divsChild>
            <w:div w:id="1805734102">
              <w:marLeft w:val="0"/>
              <w:marRight w:val="0"/>
              <w:marTop w:val="0"/>
              <w:marBottom w:val="0"/>
              <w:divBdr>
                <w:top w:val="none" w:sz="0" w:space="0" w:color="auto"/>
                <w:left w:val="none" w:sz="0" w:space="0" w:color="auto"/>
                <w:bottom w:val="none" w:sz="0" w:space="0" w:color="auto"/>
                <w:right w:val="none" w:sz="0" w:space="0" w:color="auto"/>
              </w:divBdr>
              <w:divsChild>
                <w:div w:id="2008825977">
                  <w:marLeft w:val="0"/>
                  <w:marRight w:val="0"/>
                  <w:marTop w:val="0"/>
                  <w:marBottom w:val="0"/>
                  <w:divBdr>
                    <w:top w:val="none" w:sz="0" w:space="0" w:color="auto"/>
                    <w:left w:val="none" w:sz="0" w:space="0" w:color="auto"/>
                    <w:bottom w:val="none" w:sz="0" w:space="0" w:color="auto"/>
                    <w:right w:val="none" w:sz="0" w:space="0" w:color="auto"/>
                  </w:divBdr>
                  <w:divsChild>
                    <w:div w:id="4951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438102">
      <w:bodyDiv w:val="1"/>
      <w:marLeft w:val="0"/>
      <w:marRight w:val="0"/>
      <w:marTop w:val="0"/>
      <w:marBottom w:val="0"/>
      <w:divBdr>
        <w:top w:val="none" w:sz="0" w:space="0" w:color="auto"/>
        <w:left w:val="none" w:sz="0" w:space="0" w:color="auto"/>
        <w:bottom w:val="none" w:sz="0" w:space="0" w:color="auto"/>
        <w:right w:val="none" w:sz="0" w:space="0" w:color="auto"/>
      </w:divBdr>
      <w:divsChild>
        <w:div w:id="102457204">
          <w:marLeft w:val="0"/>
          <w:marRight w:val="0"/>
          <w:marTop w:val="0"/>
          <w:marBottom w:val="0"/>
          <w:divBdr>
            <w:top w:val="none" w:sz="0" w:space="6" w:color="auto"/>
            <w:left w:val="none" w:sz="0" w:space="0" w:color="auto"/>
            <w:bottom w:val="single" w:sz="48" w:space="0" w:color="auto"/>
            <w:right w:val="none" w:sz="0" w:space="15" w:color="auto"/>
          </w:divBdr>
          <w:divsChild>
            <w:div w:id="647436393">
              <w:marLeft w:val="0"/>
              <w:marRight w:val="0"/>
              <w:marTop w:val="0"/>
              <w:marBottom w:val="0"/>
              <w:divBdr>
                <w:top w:val="none" w:sz="0" w:space="0" w:color="auto"/>
                <w:left w:val="none" w:sz="0" w:space="0" w:color="auto"/>
                <w:bottom w:val="none" w:sz="0" w:space="0" w:color="auto"/>
                <w:right w:val="none" w:sz="0" w:space="0" w:color="auto"/>
              </w:divBdr>
            </w:div>
          </w:divsChild>
        </w:div>
        <w:div w:id="476577838">
          <w:marLeft w:val="0"/>
          <w:marRight w:val="0"/>
          <w:marTop w:val="0"/>
          <w:marBottom w:val="0"/>
          <w:divBdr>
            <w:top w:val="none" w:sz="0" w:space="0" w:color="auto"/>
            <w:left w:val="none" w:sz="0" w:space="0" w:color="auto"/>
            <w:bottom w:val="single" w:sz="48" w:space="0" w:color="auto"/>
            <w:right w:val="none" w:sz="0" w:space="2" w:color="auto"/>
          </w:divBdr>
          <w:divsChild>
            <w:div w:id="954557841">
              <w:marLeft w:val="0"/>
              <w:marRight w:val="0"/>
              <w:marTop w:val="0"/>
              <w:marBottom w:val="0"/>
              <w:divBdr>
                <w:top w:val="none" w:sz="0" w:space="0" w:color="auto"/>
                <w:left w:val="none" w:sz="0" w:space="0" w:color="auto"/>
                <w:bottom w:val="none" w:sz="0" w:space="0" w:color="auto"/>
                <w:right w:val="none" w:sz="0" w:space="0" w:color="auto"/>
              </w:divBdr>
              <w:divsChild>
                <w:div w:id="210844748">
                  <w:marLeft w:val="0"/>
                  <w:marRight w:val="0"/>
                  <w:marTop w:val="0"/>
                  <w:marBottom w:val="0"/>
                  <w:divBdr>
                    <w:top w:val="none" w:sz="0" w:space="0" w:color="auto"/>
                    <w:left w:val="none" w:sz="0" w:space="0" w:color="auto"/>
                    <w:bottom w:val="none" w:sz="0" w:space="0" w:color="auto"/>
                    <w:right w:val="none" w:sz="0" w:space="0" w:color="auto"/>
                  </w:divBdr>
                  <w:divsChild>
                    <w:div w:id="3425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t.edu/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Tampa</Company>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Davis</dc:creator>
  <cp:keywords/>
  <dc:description/>
  <cp:lastModifiedBy>Nolan Cummings</cp:lastModifiedBy>
  <cp:revision>2</cp:revision>
  <dcterms:created xsi:type="dcterms:W3CDTF">2018-03-30T18:26:00Z</dcterms:created>
  <dcterms:modified xsi:type="dcterms:W3CDTF">2018-03-30T18:26:00Z</dcterms:modified>
</cp:coreProperties>
</file>